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679C" w:rsidRDefault="00D7679C">
      <w:pPr>
        <w:pStyle w:val="normal0"/>
      </w:pPr>
    </w:p>
    <w:p w:rsidR="00D7679C" w:rsidRPr="00B92A36" w:rsidRDefault="00D7679C">
      <w:pPr>
        <w:pStyle w:val="normal0"/>
        <w:rPr>
          <w:rFonts w:ascii="Century Gothic" w:hAnsi="Century Gothic"/>
        </w:rPr>
      </w:pPr>
    </w:p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D7679C" w:rsidRPr="00B92A36">
        <w:trPr>
          <w:cantSplit/>
          <w:tblHeader/>
        </w:trPr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79C" w:rsidRPr="00B92A36" w:rsidRDefault="007D6A94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</w:rPr>
            </w:pPr>
            <w:r w:rsidRPr="00B92A36">
              <w:rPr>
                <w:rFonts w:ascii="Century Gothic" w:hAnsi="Century Gothic"/>
                <w:b/>
              </w:rPr>
              <w:t>ANEXO III - CRITÉRIO DE SELEÇÃO</w:t>
            </w:r>
          </w:p>
        </w:tc>
      </w:tr>
    </w:tbl>
    <w:p w:rsidR="00D7679C" w:rsidRPr="00B92A36" w:rsidRDefault="00D7679C">
      <w:pPr>
        <w:pStyle w:val="normal0"/>
        <w:rPr>
          <w:rFonts w:ascii="Century Gothic" w:hAnsi="Century Gothic"/>
        </w:rPr>
      </w:pPr>
    </w:p>
    <w:p w:rsidR="00D7679C" w:rsidRPr="00B92A36" w:rsidRDefault="00D7679C">
      <w:pPr>
        <w:pStyle w:val="normal0"/>
        <w:rPr>
          <w:rFonts w:ascii="Century Gothic" w:hAnsi="Century Gothic"/>
        </w:rPr>
      </w:pP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I  - </w:t>
      </w:r>
      <w:r w:rsidRPr="00B92A36">
        <w:rPr>
          <w:rFonts w:ascii="Century Gothic" w:hAnsi="Century Gothic"/>
          <w:b/>
        </w:rPr>
        <w:t xml:space="preserve">A relação custo-benefício </w:t>
      </w:r>
      <w:r w:rsidRPr="00B92A36">
        <w:rPr>
          <w:rFonts w:ascii="Century Gothic" w:hAnsi="Century Gothic"/>
        </w:rPr>
        <w:t>é a relação entre o valor dos recursos previstos para realização do objeto e os benefícios que o projeto prevê, considerando o objeto do edital e as prioridades culturais apontadas, bem como adequação entre a proposta e o orçamento    apresentado.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II - </w:t>
      </w:r>
      <w:r w:rsidRPr="00B92A36">
        <w:rPr>
          <w:rFonts w:ascii="Century Gothic" w:hAnsi="Century Gothic"/>
          <w:b/>
        </w:rPr>
        <w:t xml:space="preserve">Clareza e coerência nos objetivos </w:t>
      </w:r>
      <w:r w:rsidRPr="00B92A36">
        <w:rPr>
          <w:rFonts w:ascii="Century Gothic" w:hAnsi="Century Gothic"/>
        </w:rPr>
        <w:t>Clareza, consistência e coerência do projeto, considerando-se o conjunto de seus campos e anexos previstos, bem como o objeto do edital e as prioridades culturais apontadas.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III - </w:t>
      </w:r>
      <w:r w:rsidRPr="00B92A36">
        <w:rPr>
          <w:rFonts w:ascii="Century Gothic" w:hAnsi="Century Gothic"/>
          <w:b/>
        </w:rPr>
        <w:t xml:space="preserve">Criatividade e inovação </w:t>
      </w:r>
      <w:r w:rsidRPr="00B92A36">
        <w:rPr>
          <w:rFonts w:ascii="Century Gothic" w:hAnsi="Century Gothic"/>
        </w:rPr>
        <w:t>do projeto, considerando-se originalidade e singularidade da proposta, seja em termos temáticos, estéticos, metodológicos ou inovadores das formas de difusão e circulação.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IV - </w:t>
      </w:r>
      <w:r w:rsidRPr="00B92A36">
        <w:rPr>
          <w:rFonts w:ascii="Century Gothic" w:hAnsi="Century Gothic"/>
          <w:b/>
        </w:rPr>
        <w:t xml:space="preserve">Retorno de interesse público </w:t>
      </w:r>
      <w:r w:rsidRPr="00B92A36">
        <w:rPr>
          <w:rFonts w:ascii="Century Gothic" w:hAnsi="Century Gothic"/>
        </w:rPr>
        <w:t xml:space="preserve">Capacidade de inferência no circuito público de Cultura em </w:t>
      </w:r>
      <w:r w:rsidR="002C7A9B" w:rsidRPr="00B92A36">
        <w:rPr>
          <w:rFonts w:ascii="Century Gothic" w:hAnsi="Century Gothic"/>
        </w:rPr>
        <w:t>Quarto Centenário</w:t>
      </w:r>
      <w:r w:rsidRPr="00B92A36">
        <w:rPr>
          <w:rFonts w:ascii="Century Gothic" w:hAnsi="Century Gothic"/>
        </w:rPr>
        <w:t>, permitindo/facilitando o acesso à produção, formação e fruição culturais e à cultura como direito social.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V - </w:t>
      </w:r>
      <w:r w:rsidRPr="00B92A36">
        <w:rPr>
          <w:rFonts w:ascii="Century Gothic" w:hAnsi="Century Gothic"/>
          <w:b/>
        </w:rPr>
        <w:t xml:space="preserve">Importância para a cidade </w:t>
      </w:r>
      <w:r w:rsidRPr="00B92A36">
        <w:rPr>
          <w:rFonts w:ascii="Century Gothic" w:hAnsi="Century Gothic"/>
        </w:rPr>
        <w:t>Capacidade de gerar qualidade de vida para a população, a partir dos potenciais da cultura e relevância cultural (valor simbólico, histórico, estético) da propost</w:t>
      </w:r>
      <w:r w:rsidR="008347CD" w:rsidRPr="00B92A36">
        <w:rPr>
          <w:rFonts w:ascii="Century Gothic" w:hAnsi="Century Gothic"/>
        </w:rPr>
        <w:t>a para o cenário cultural de Quarto Centenário</w:t>
      </w:r>
      <w:r w:rsidRPr="00B92A36">
        <w:rPr>
          <w:rFonts w:ascii="Century Gothic" w:hAnsi="Century Gothic"/>
        </w:rPr>
        <w:t>. Bem como a relevância que o projeto dá a cidade como centro produtor e fomentador de cultura, destacando-a, dentro da área na qual se propõe, no contexto das cidades brasileiras.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lastRenderedPageBreak/>
        <w:t xml:space="preserve">VI - </w:t>
      </w:r>
      <w:r w:rsidRPr="00B92A36">
        <w:rPr>
          <w:rFonts w:ascii="Century Gothic" w:hAnsi="Century Gothic"/>
          <w:b/>
        </w:rPr>
        <w:t xml:space="preserve">Descentralização cultural </w:t>
      </w:r>
      <w:r w:rsidRPr="00B92A36">
        <w:rPr>
          <w:rFonts w:ascii="Century Gothic" w:hAnsi="Century Gothic"/>
        </w:rPr>
        <w:t>Descentralização geográfica e/ou social, que facilite o acesso à diversidade artística e cultural e a seus processos e produtos a segmentos da sociedade excluídos desse direito.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VII - </w:t>
      </w:r>
      <w:r w:rsidRPr="00B92A36">
        <w:rPr>
          <w:rFonts w:ascii="Century Gothic" w:hAnsi="Century Gothic"/>
          <w:b/>
        </w:rPr>
        <w:t xml:space="preserve">Universalização e democratização do acesso aos bens culturais </w:t>
      </w:r>
      <w:r w:rsidRPr="00B92A36">
        <w:rPr>
          <w:rFonts w:ascii="Century Gothic" w:hAnsi="Century Gothic"/>
        </w:rPr>
        <w:t>Criação de condições que facilitam o acesso à diversidade artística e cultural e a seus processos e produtos a todas as pessoas, seja em quantidade de apresentações, processos de formação de público, qualidades didáticas das produções e garantias de acessibilidade.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VIII - </w:t>
      </w:r>
      <w:r w:rsidRPr="00B92A36">
        <w:rPr>
          <w:rFonts w:ascii="Century Gothic" w:hAnsi="Century Gothic"/>
          <w:b/>
        </w:rPr>
        <w:t>Socialização de oportunidades de produção cultura</w:t>
      </w:r>
      <w:r w:rsidRPr="00B92A36">
        <w:rPr>
          <w:rFonts w:ascii="Century Gothic" w:hAnsi="Century Gothic"/>
        </w:rPr>
        <w:t>l Criação de condições, como criadoras, às pessoas e comunidades para iniciação e/ou aperfeiçoamento nas diversas linguagens artísticas ou expressões artísticas culturais.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IX - </w:t>
      </w:r>
      <w:r w:rsidRPr="00B92A36">
        <w:rPr>
          <w:rFonts w:ascii="Century Gothic" w:hAnsi="Century Gothic"/>
          <w:b/>
        </w:rPr>
        <w:t xml:space="preserve">Enriquecimento de referências estéticas </w:t>
      </w:r>
      <w:r w:rsidRPr="00B92A36">
        <w:rPr>
          <w:rFonts w:ascii="Century Gothic" w:hAnsi="Century Gothic"/>
        </w:rPr>
        <w:t>Capacidade de oferecer processos e produtos culturais que dêem acesso, ampliem, enriqueçam referências histórico-culturais e modos e formas de ver e angular, permitindo a ampliação da criticidade e da capacidade de leitura do mundo, expressão e criação. Perspectiva de produção e circulação de obras com forma e conteúdo inovadores.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X- </w:t>
      </w:r>
      <w:r w:rsidRPr="00B92A36">
        <w:rPr>
          <w:rFonts w:ascii="Century Gothic" w:hAnsi="Century Gothic"/>
          <w:b/>
        </w:rPr>
        <w:t xml:space="preserve">Valorização da memória histórica da cidade </w:t>
      </w:r>
      <w:r w:rsidRPr="00B92A36">
        <w:rPr>
          <w:rFonts w:ascii="Century Gothic" w:hAnsi="Century Gothic"/>
        </w:rPr>
        <w:t>Capacidade de revelar, difundir e valorizar a memória histórica em torno de acontecimentos, personagens e comunidades. Capacidade de revelar e disseminar os valores artístico culturais, os costumes, os modos de viver e criar e a memória material e imaterial da comunidade.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XI - </w:t>
      </w:r>
      <w:r w:rsidRPr="00B92A36">
        <w:rPr>
          <w:rFonts w:ascii="Century Gothic" w:hAnsi="Century Gothic"/>
          <w:b/>
        </w:rPr>
        <w:t xml:space="preserve">Princípio de equidade </w:t>
      </w:r>
      <w:r w:rsidRPr="00B92A36">
        <w:rPr>
          <w:rFonts w:ascii="Century Gothic" w:hAnsi="Century Gothic"/>
        </w:rPr>
        <w:t>entre as diversas áreas culturais possíveis de serem incentivadas Princípio Que permite distribuir de forma mais equânime/igualitária os recursos, entre as várias áreas.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lastRenderedPageBreak/>
        <w:t xml:space="preserve">XII </w:t>
      </w:r>
      <w:r w:rsidRPr="00B92A36">
        <w:rPr>
          <w:rFonts w:ascii="Century Gothic" w:hAnsi="Century Gothic"/>
          <w:b/>
        </w:rPr>
        <w:t xml:space="preserve">O princípio da não concentração </w:t>
      </w:r>
      <w:r w:rsidRPr="00B92A36">
        <w:rPr>
          <w:rFonts w:ascii="Century Gothic" w:hAnsi="Century Gothic"/>
        </w:rPr>
        <w:t>por proponente Princípio que permite distribuir de forma mais equânime/igualitária os recursos entre os vários proponentes que se inscrevem no Edital.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XIII- </w:t>
      </w:r>
      <w:r w:rsidRPr="00B92A36">
        <w:rPr>
          <w:rFonts w:ascii="Century Gothic" w:hAnsi="Century Gothic"/>
          <w:b/>
        </w:rPr>
        <w:t xml:space="preserve">Capacidade executiva do proponente </w:t>
      </w:r>
      <w:r w:rsidRPr="00B92A36">
        <w:rPr>
          <w:rFonts w:ascii="Century Gothic" w:hAnsi="Century Gothic"/>
        </w:rPr>
        <w:t>capacidade do proponente em executar o proposto no projeto, a partir de seu histórico como atuador cultural, a ser aferido na análise do histórico do proponente, em documentos previstos nos termos deste Edital.</w:t>
      </w:r>
    </w:p>
    <w:p w:rsidR="00D7679C" w:rsidRPr="00B92A36" w:rsidRDefault="007D6A94">
      <w:pPr>
        <w:pStyle w:val="Ttulo1"/>
        <w:keepNext w:val="0"/>
        <w:keepLines w:val="0"/>
        <w:spacing w:before="200" w:line="480" w:lineRule="auto"/>
        <w:ind w:left="566"/>
        <w:jc w:val="both"/>
        <w:rPr>
          <w:rFonts w:ascii="Century Gothic" w:hAnsi="Century Gothic"/>
          <w:b/>
          <w:sz w:val="22"/>
          <w:szCs w:val="22"/>
        </w:rPr>
      </w:pPr>
      <w:bookmarkStart w:id="0" w:name="_1ksv4uv" w:colFirst="0" w:colLast="0"/>
      <w:bookmarkEnd w:id="0"/>
      <w:r w:rsidRPr="00B92A36">
        <w:rPr>
          <w:rFonts w:ascii="Century Gothic" w:hAnsi="Century Gothic"/>
          <w:sz w:val="22"/>
          <w:szCs w:val="22"/>
        </w:rPr>
        <w:t xml:space="preserve">XIV   –   </w:t>
      </w:r>
      <w:r w:rsidRPr="00B92A36">
        <w:rPr>
          <w:rFonts w:ascii="Century Gothic" w:hAnsi="Century Gothic"/>
          <w:b/>
          <w:sz w:val="22"/>
          <w:szCs w:val="22"/>
        </w:rPr>
        <w:t xml:space="preserve">Proponentes   pessoas   negras   (pretas   e   pardas),   indígenas,   ciganos, </w:t>
      </w:r>
      <w:r w:rsidRPr="00B92A36">
        <w:rPr>
          <w:rFonts w:ascii="Century Gothic" w:hAnsi="Century Gothic"/>
          <w:sz w:val="22"/>
          <w:szCs w:val="22"/>
        </w:rPr>
        <w:t xml:space="preserve">ribeirinhas e quilombolas </w:t>
      </w:r>
      <w:r w:rsidRPr="00B92A36">
        <w:rPr>
          <w:rFonts w:ascii="Century Gothic" w:hAnsi="Century Gothic"/>
          <w:b/>
          <w:sz w:val="22"/>
          <w:szCs w:val="22"/>
        </w:rPr>
        <w:t>de acordo com o Art. 17º da LPG (Art. 17. Na implementação das ações previstas nesta Lei Complementar, os Estados, o Distrito Federal e os Municípios deverão assegurar mecanismos de estímulo à participação e ao protagonismo de mulheres, de negros, de indígenas, de povos tradicionais, inclusive de terreiro e quilombolas, de populações nômades, de pessoas idosas, de pessoas do segmento LGBTQIA+, de pessoas com deficiência e de outras minorias, por meio de cotas, critérios diferenciados de pontuação, editais específicos ou qualquer outro meio de ação afirmativa que garanta a participação e o protagonismo desses grupos, observadas a realidade local, a organização social do grupo, quando aplicável, e a legislação relativa ao tema), estimulando a formação profissional e visões de mundo que valorizam a cultura e a criatividade através do audiovisual.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XV- </w:t>
      </w:r>
      <w:r w:rsidRPr="00B92A36">
        <w:rPr>
          <w:rFonts w:ascii="Century Gothic" w:hAnsi="Century Gothic"/>
          <w:b/>
        </w:rPr>
        <w:t xml:space="preserve">Proponentes pessoas que se identifiquem como mulheres cis, mulheres ou homens trans, travestis e não- bináries </w:t>
      </w:r>
      <w:r w:rsidRPr="00B92A36">
        <w:rPr>
          <w:rFonts w:ascii="Century Gothic" w:hAnsi="Century Gothic"/>
        </w:rPr>
        <w:t>(Art. 17, lei Paulo Gustavo), estimulando a formação profissional e visões de mundo que valorizam a cultura e a criatividade através do audiovisual.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lastRenderedPageBreak/>
        <w:t xml:space="preserve">XVI- </w:t>
      </w:r>
      <w:r w:rsidRPr="00B92A36">
        <w:rPr>
          <w:rFonts w:ascii="Century Gothic" w:hAnsi="Century Gothic"/>
          <w:b/>
        </w:rPr>
        <w:t>Proponentes pessoas residentes no município</w:t>
      </w:r>
      <w:r w:rsidRPr="00B92A36">
        <w:rPr>
          <w:rFonts w:ascii="Century Gothic" w:hAnsi="Century Gothic"/>
        </w:rPr>
        <w:t>, estimulando a formação profissional e visões de mundo que valorizam a cultura e a criatividade através do audiovisual.</w:t>
      </w:r>
    </w:p>
    <w:p w:rsidR="00D7679C" w:rsidRPr="00B92A36" w:rsidRDefault="00D7679C">
      <w:pPr>
        <w:pStyle w:val="normal0"/>
        <w:rPr>
          <w:rFonts w:ascii="Century Gothic" w:hAnsi="Century Gothic"/>
        </w:rPr>
      </w:pPr>
    </w:p>
    <w:tbl>
      <w:tblPr>
        <w:tblStyle w:val="a0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490"/>
      </w:tblGrid>
      <w:tr w:rsidR="00D7679C" w:rsidRPr="00B92A36">
        <w:trPr>
          <w:cantSplit/>
          <w:tblHeader/>
        </w:trPr>
        <w:tc>
          <w:tcPr>
            <w:tcW w:w="104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79C" w:rsidRPr="00B92A36" w:rsidRDefault="007D6A94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</w:rPr>
            </w:pPr>
            <w:r w:rsidRPr="00B92A36">
              <w:rPr>
                <w:rFonts w:ascii="Century Gothic" w:hAnsi="Century Gothic"/>
                <w:b/>
              </w:rPr>
              <w:t>CRITÉRIOS PARA PONTUAÇÃO</w:t>
            </w:r>
          </w:p>
        </w:tc>
      </w:tr>
    </w:tbl>
    <w:p w:rsidR="00D7679C" w:rsidRPr="00B92A36" w:rsidRDefault="00D7679C">
      <w:pPr>
        <w:pStyle w:val="normal0"/>
        <w:spacing w:before="200" w:line="480" w:lineRule="auto"/>
        <w:jc w:val="both"/>
        <w:rPr>
          <w:rFonts w:ascii="Century Gothic" w:hAnsi="Century Gothic"/>
          <w:b/>
        </w:rPr>
      </w:pP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I-</w:t>
      </w:r>
      <w:r w:rsidRPr="00B92A36">
        <w:rPr>
          <w:rFonts w:ascii="Century Gothic" w:hAnsi="Century Gothic"/>
        </w:rPr>
        <w:t xml:space="preserve"> A relação custo-benefício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II-</w:t>
      </w:r>
      <w:r w:rsidRPr="00B92A36">
        <w:rPr>
          <w:rFonts w:ascii="Century Gothic" w:hAnsi="Century Gothic"/>
        </w:rPr>
        <w:t xml:space="preserve"> Clareza e coerência nos objetivos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III-</w:t>
      </w:r>
      <w:r w:rsidRPr="00B92A36">
        <w:rPr>
          <w:rFonts w:ascii="Century Gothic" w:hAnsi="Century Gothic"/>
        </w:rPr>
        <w:t xml:space="preserve"> Criatividade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IV-</w:t>
      </w:r>
      <w:r w:rsidRPr="00B92A36">
        <w:rPr>
          <w:rFonts w:ascii="Century Gothic" w:hAnsi="Century Gothic"/>
        </w:rPr>
        <w:t xml:space="preserve"> Retorno de interesse público </w:t>
      </w:r>
      <w:r w:rsidRPr="00B92A36">
        <w:rPr>
          <w:rFonts w:ascii="Century Gothic" w:hAnsi="Century Gothic"/>
          <w:b/>
        </w:rPr>
        <w:t>0 a 10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V-</w:t>
      </w:r>
      <w:r w:rsidRPr="00B92A36">
        <w:rPr>
          <w:rFonts w:ascii="Century Gothic" w:hAnsi="Century Gothic"/>
        </w:rPr>
        <w:t xml:space="preserve"> Importância para a cidade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VI-</w:t>
      </w:r>
      <w:r w:rsidRPr="00B92A36">
        <w:rPr>
          <w:rFonts w:ascii="Century Gothic" w:hAnsi="Century Gothic"/>
        </w:rPr>
        <w:t xml:space="preserve"> Descentralização cultural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VII-</w:t>
      </w:r>
      <w:r w:rsidRPr="00B92A36">
        <w:rPr>
          <w:rFonts w:ascii="Century Gothic" w:hAnsi="Century Gothic"/>
        </w:rPr>
        <w:t xml:space="preserve"> Universalização e democratização do acesso aos bens culturais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VIII-</w:t>
      </w:r>
      <w:r w:rsidRPr="00B92A36">
        <w:rPr>
          <w:rFonts w:ascii="Century Gothic" w:hAnsi="Century Gothic"/>
        </w:rPr>
        <w:t xml:space="preserve"> Socialização de oportunidades de produção cultural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IX-</w:t>
      </w:r>
      <w:r w:rsidRPr="00B92A36">
        <w:rPr>
          <w:rFonts w:ascii="Century Gothic" w:hAnsi="Century Gothic"/>
        </w:rPr>
        <w:t xml:space="preserve"> Enriquecimento de referências estéticas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X-</w:t>
      </w:r>
      <w:r w:rsidRPr="00B92A36">
        <w:rPr>
          <w:rFonts w:ascii="Century Gothic" w:hAnsi="Century Gothic"/>
        </w:rPr>
        <w:t xml:space="preserve"> Valorização da memória histórica da cidade </w:t>
      </w:r>
      <w:r w:rsidRPr="00B92A36">
        <w:rPr>
          <w:rFonts w:ascii="Century Gothic" w:hAnsi="Century Gothic"/>
          <w:b/>
        </w:rPr>
        <w:t>0 a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XI-</w:t>
      </w:r>
      <w:r w:rsidRPr="00B92A36">
        <w:rPr>
          <w:rFonts w:ascii="Century Gothic" w:hAnsi="Century Gothic"/>
        </w:rPr>
        <w:t xml:space="preserve"> Capacidade executiva do proponente </w:t>
      </w:r>
      <w:r w:rsidRPr="00B92A36">
        <w:rPr>
          <w:rFonts w:ascii="Century Gothic" w:hAnsi="Century Gothic"/>
          <w:b/>
        </w:rPr>
        <w:t>0 a 10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  <w:b/>
        </w:rPr>
        <w:t>XII –</w:t>
      </w:r>
      <w:r w:rsidRPr="00B92A36">
        <w:rPr>
          <w:rFonts w:ascii="Century Gothic" w:hAnsi="Century Gothic"/>
        </w:rPr>
        <w:t xml:space="preserve"> O Princípio de equidade entre as diversas áreas culturais possíveis de serem incentivadas não atribui nota. É um fator de equilíbrio considerado na análise.</w:t>
      </w:r>
    </w:p>
    <w:p w:rsidR="00D7679C" w:rsidRPr="00B92A36" w:rsidRDefault="007D6A94">
      <w:pPr>
        <w:pStyle w:val="normal0"/>
        <w:spacing w:before="200" w:line="480" w:lineRule="auto"/>
        <w:ind w:left="566" w:right="14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  <w:b/>
        </w:rPr>
        <w:t>XIII -</w:t>
      </w:r>
      <w:r w:rsidRPr="00B92A36">
        <w:rPr>
          <w:rFonts w:ascii="Century Gothic" w:hAnsi="Century Gothic"/>
        </w:rPr>
        <w:t xml:space="preserve"> O princípio da não concentração por proponente não atribui nota. É um fator de equilíbrio considerado na análise.</w:t>
      </w:r>
    </w:p>
    <w:p w:rsidR="00D7679C" w:rsidRPr="00B92A36" w:rsidRDefault="007D6A94">
      <w:pPr>
        <w:pStyle w:val="normal0"/>
        <w:spacing w:before="200" w:line="480" w:lineRule="auto"/>
        <w:ind w:left="566" w:right="120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lastRenderedPageBreak/>
        <w:t>XIV -</w:t>
      </w:r>
      <w:r w:rsidRPr="00B92A36">
        <w:rPr>
          <w:rFonts w:ascii="Century Gothic" w:hAnsi="Century Gothic"/>
        </w:rPr>
        <w:t xml:space="preserve"> Proponentes ou equipe com pessoas negras (pretas e pardas), indígenas, idosas, ciganos, ribeirinhas e/ou quilombolas. </w:t>
      </w:r>
      <w:r w:rsidRPr="00B92A36">
        <w:rPr>
          <w:rFonts w:ascii="Century Gothic" w:hAnsi="Century Gothic"/>
          <w:b/>
        </w:rPr>
        <w:t>0 ou 20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XV -</w:t>
      </w:r>
      <w:r w:rsidRPr="00B92A36">
        <w:rPr>
          <w:rFonts w:ascii="Century Gothic" w:hAnsi="Century Gothic"/>
        </w:rPr>
        <w:t xml:space="preserve"> Proponentes ou equipe que se identifiquem como mulheres cis, mulheres ou homens trans, travestis e não-bináries </w:t>
      </w:r>
      <w:r w:rsidRPr="00B92A36">
        <w:rPr>
          <w:rFonts w:ascii="Century Gothic" w:hAnsi="Century Gothic"/>
          <w:b/>
        </w:rPr>
        <w:t>0 ou 5</w:t>
      </w:r>
    </w:p>
    <w:p w:rsidR="00D7679C" w:rsidRPr="00B92A36" w:rsidRDefault="007D6A94">
      <w:pPr>
        <w:pStyle w:val="normal0"/>
        <w:spacing w:before="200" w:line="480" w:lineRule="auto"/>
        <w:ind w:left="566"/>
        <w:jc w:val="both"/>
        <w:rPr>
          <w:rFonts w:ascii="Century Gothic" w:hAnsi="Century Gothic"/>
          <w:b/>
        </w:rPr>
      </w:pPr>
      <w:r w:rsidRPr="00B92A36">
        <w:rPr>
          <w:rFonts w:ascii="Century Gothic" w:hAnsi="Century Gothic"/>
          <w:b/>
        </w:rPr>
        <w:t>XVI -</w:t>
      </w:r>
      <w:r w:rsidRPr="00B92A36">
        <w:rPr>
          <w:rFonts w:ascii="Century Gothic" w:hAnsi="Century Gothic"/>
        </w:rPr>
        <w:t xml:space="preserve"> Pessoas residentes no Município de </w:t>
      </w:r>
      <w:r w:rsidR="00476897" w:rsidRPr="00B92A36">
        <w:rPr>
          <w:rFonts w:ascii="Century Gothic" w:hAnsi="Century Gothic"/>
        </w:rPr>
        <w:t>Quarto Centenário</w:t>
      </w:r>
      <w:r w:rsidRPr="00B92A36">
        <w:rPr>
          <w:rFonts w:ascii="Century Gothic" w:hAnsi="Century Gothic"/>
        </w:rPr>
        <w:t xml:space="preserve"> </w:t>
      </w:r>
      <w:r w:rsidRPr="00B92A36">
        <w:rPr>
          <w:rFonts w:ascii="Century Gothic" w:hAnsi="Century Gothic"/>
          <w:b/>
        </w:rPr>
        <w:t>0 ou 10</w:t>
      </w:r>
    </w:p>
    <w:p w:rsidR="00D7679C" w:rsidRPr="00B92A36" w:rsidRDefault="007D6A94">
      <w:pPr>
        <w:pStyle w:val="normal0"/>
        <w:spacing w:before="200" w:line="480" w:lineRule="auto"/>
        <w:ind w:left="566" w:right="14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A pontuação máxima a ser obtida será de 100 (cem) pontos, e a mínima de 50 (cinquenta) pontos. </w:t>
      </w:r>
    </w:p>
    <w:p w:rsidR="00D7679C" w:rsidRPr="00B92A36" w:rsidRDefault="007D6A94">
      <w:pPr>
        <w:pStyle w:val="normal0"/>
        <w:spacing w:before="200" w:line="480" w:lineRule="auto"/>
        <w:ind w:left="566" w:right="140"/>
        <w:jc w:val="both"/>
        <w:rPr>
          <w:rFonts w:ascii="Century Gothic" w:hAnsi="Century Gothic"/>
        </w:rPr>
      </w:pPr>
      <w:r w:rsidRPr="00B92A36">
        <w:rPr>
          <w:rFonts w:ascii="Century Gothic" w:hAnsi="Century Gothic"/>
        </w:rPr>
        <w:t xml:space="preserve">Os projetos que obtiverem pontuação abaixo de 50 (cinquenta) pontos, serão automaticamente DESCLASSIFICADOS. </w:t>
      </w:r>
    </w:p>
    <w:p w:rsidR="00D7679C" w:rsidRDefault="007D6A94">
      <w:pPr>
        <w:pStyle w:val="normal0"/>
        <w:spacing w:before="200" w:line="480" w:lineRule="auto"/>
        <w:ind w:left="566" w:right="140"/>
        <w:jc w:val="both"/>
      </w:pPr>
      <w:r w:rsidRPr="00B92A36">
        <w:rPr>
          <w:rFonts w:ascii="Century Gothic" w:hAnsi="Century Gothic"/>
        </w:rPr>
        <w:t>Havendo empate será critério de desempate as propostas que obtiverem maior pontuação na somatória dos itens “I”, “II”, “III”, “IV” e “V”. Se ainda houver empate será considerada vencedora a proposta que obtiver maior pontuação no item “IV”, e se ainda permanecer empatadas será considerado o que obtiver maior pontuação</w:t>
      </w:r>
      <w:r>
        <w:rPr>
          <w:sz w:val="24"/>
          <w:szCs w:val="24"/>
        </w:rPr>
        <w:t xml:space="preserve"> no item “XI”.</w:t>
      </w:r>
    </w:p>
    <w:sectPr w:rsidR="00D7679C" w:rsidSect="00D7679C">
      <w:headerReference w:type="default" r:id="rId7"/>
      <w:footerReference w:type="default" r:id="rId8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FB" w:rsidRDefault="005C31FB" w:rsidP="00EB1568">
      <w:pPr>
        <w:spacing w:line="240" w:lineRule="auto"/>
      </w:pPr>
      <w:r>
        <w:separator/>
      </w:r>
    </w:p>
  </w:endnote>
  <w:endnote w:type="continuationSeparator" w:id="1">
    <w:p w:rsidR="005C31FB" w:rsidRDefault="005C31FB" w:rsidP="00EB1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68" w:rsidRDefault="00EB1568" w:rsidP="00EB1568">
    <w:pPr>
      <w:tabs>
        <w:tab w:val="left" w:pos="2501"/>
      </w:tabs>
      <w:ind w:right="-285"/>
      <w:jc w:val="center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>______________________________________________________________________________________________</w:t>
    </w:r>
  </w:p>
  <w:p w:rsidR="00EB1568" w:rsidRPr="00EB5808" w:rsidRDefault="00EB1568" w:rsidP="00EB1568">
    <w:pPr>
      <w:ind w:right="-285"/>
      <w:jc w:val="center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>AVENIDA PARANÁ, 1429, CENTRO, TELEFONE: (44) 3546.1176</w:t>
    </w:r>
  </w:p>
  <w:p w:rsidR="00EB1568" w:rsidRDefault="00EB156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FB" w:rsidRDefault="005C31FB" w:rsidP="00EB1568">
      <w:pPr>
        <w:spacing w:line="240" w:lineRule="auto"/>
      </w:pPr>
      <w:r>
        <w:separator/>
      </w:r>
    </w:p>
  </w:footnote>
  <w:footnote w:type="continuationSeparator" w:id="1">
    <w:p w:rsidR="005C31FB" w:rsidRDefault="005C31FB" w:rsidP="00EB15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68" w:rsidRDefault="00EB1568" w:rsidP="00EB1568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133694</wp:posOffset>
          </wp:positionH>
          <wp:positionV relativeFrom="paragraph">
            <wp:posOffset>-339811</wp:posOffset>
          </wp:positionV>
          <wp:extent cx="1007076" cy="963827"/>
          <wp:effectExtent l="0" t="0" r="0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6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1568" w:rsidRPr="00EB5808" w:rsidRDefault="00EB1568" w:rsidP="00EB1568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EB1568" w:rsidRPr="00EB5808" w:rsidRDefault="00EB1568" w:rsidP="00EB1568">
    <w:pPr>
      <w:spacing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EB1568" w:rsidRPr="00EB5808" w:rsidRDefault="00EB1568" w:rsidP="00EB1568">
    <w:pPr>
      <w:spacing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EB1568" w:rsidRDefault="00EB1568" w:rsidP="00EB1568">
    <w:pPr>
      <w:pStyle w:val="Cabealho"/>
    </w:pPr>
  </w:p>
  <w:p w:rsidR="00EB1568" w:rsidRDefault="00EB1568">
    <w:pPr>
      <w:pStyle w:val="Cabealho"/>
    </w:pPr>
  </w:p>
  <w:p w:rsidR="00EB1568" w:rsidRDefault="00EB156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1CB0"/>
    <w:multiLevelType w:val="multilevel"/>
    <w:tmpl w:val="97DA30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79C"/>
    <w:rsid w:val="002C7A9B"/>
    <w:rsid w:val="0041727E"/>
    <w:rsid w:val="00476897"/>
    <w:rsid w:val="00574984"/>
    <w:rsid w:val="005C31FB"/>
    <w:rsid w:val="007736E3"/>
    <w:rsid w:val="007D6A94"/>
    <w:rsid w:val="008347CD"/>
    <w:rsid w:val="008A1839"/>
    <w:rsid w:val="00B92A36"/>
    <w:rsid w:val="00BB71F9"/>
    <w:rsid w:val="00D7679C"/>
    <w:rsid w:val="00EB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F9"/>
  </w:style>
  <w:style w:type="paragraph" w:styleId="Ttulo1">
    <w:name w:val="heading 1"/>
    <w:basedOn w:val="normal0"/>
    <w:next w:val="normal0"/>
    <w:rsid w:val="00D7679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7679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7679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7679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7679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7679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7679C"/>
  </w:style>
  <w:style w:type="table" w:customStyle="1" w:styleId="TableNormal">
    <w:name w:val="Table Normal"/>
    <w:rsid w:val="00D767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7679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7679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7679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7679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15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568"/>
  </w:style>
  <w:style w:type="paragraph" w:styleId="Rodap">
    <w:name w:val="footer"/>
    <w:basedOn w:val="Normal"/>
    <w:link w:val="RodapChar"/>
    <w:uiPriority w:val="99"/>
    <w:semiHidden/>
    <w:unhideWhenUsed/>
    <w:rsid w:val="00EB15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1568"/>
  </w:style>
  <w:style w:type="paragraph" w:styleId="Textodebalo">
    <w:name w:val="Balloon Text"/>
    <w:basedOn w:val="Normal"/>
    <w:link w:val="TextodebaloChar"/>
    <w:uiPriority w:val="99"/>
    <w:semiHidden/>
    <w:unhideWhenUsed/>
    <w:rsid w:val="00EB1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1023</Words>
  <Characters>5527</Characters>
  <Application>Microsoft Office Word</Application>
  <DocSecurity>0</DocSecurity>
  <Lines>46</Lines>
  <Paragraphs>13</Paragraphs>
  <ScaleCrop>false</ScaleCrop>
  <Company>Grizli777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2024-11-28T12:58:00Z</dcterms:created>
  <dcterms:modified xsi:type="dcterms:W3CDTF">2024-11-29T13:45:00Z</dcterms:modified>
</cp:coreProperties>
</file>